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Look w:val="04A0" w:firstRow="1" w:lastRow="0" w:firstColumn="1" w:lastColumn="0" w:noHBand="0" w:noVBand="1"/>
      </w:tblPr>
      <w:tblGrid>
        <w:gridCol w:w="9923"/>
      </w:tblGrid>
      <w:tr w:rsidR="00B54CB7" w:rsidRPr="00AE2694" w:rsidTr="00B54CB7">
        <w:tc>
          <w:tcPr>
            <w:tcW w:w="9923" w:type="dxa"/>
            <w:shd w:val="clear" w:color="auto" w:fill="auto"/>
          </w:tcPr>
          <w:p w:rsidR="00B54CB7" w:rsidRPr="00AE2694" w:rsidRDefault="00B54CB7" w:rsidP="00E14310">
            <w:pPr>
              <w:spacing w:line="0" w:lineRule="atLeast"/>
              <w:jc w:val="right"/>
              <w:rPr>
                <w:b/>
                <w:sz w:val="20"/>
                <w:lang w:val="uk-UA"/>
              </w:rPr>
            </w:pPr>
          </w:p>
        </w:tc>
      </w:tr>
      <w:tr w:rsidR="00B54CB7" w:rsidRPr="00A61EED" w:rsidTr="00B54CB7">
        <w:trPr>
          <w:trHeight w:val="1909"/>
        </w:trPr>
        <w:tc>
          <w:tcPr>
            <w:tcW w:w="9923" w:type="dxa"/>
            <w:shd w:val="clear" w:color="auto" w:fill="auto"/>
          </w:tcPr>
          <w:p w:rsidR="00B54CB7" w:rsidRPr="003D2F76" w:rsidRDefault="00B54CB7" w:rsidP="00E14310">
            <w:pPr>
              <w:spacing w:line="0" w:lineRule="atLeast"/>
              <w:jc w:val="center"/>
              <w:rPr>
                <w:b/>
                <w:sz w:val="20"/>
                <w:lang w:val="uk-UA"/>
              </w:rPr>
            </w:pPr>
            <w:r w:rsidRPr="003D2F76">
              <w:rPr>
                <w:b/>
                <w:sz w:val="20"/>
                <w:lang w:val="uk-UA"/>
              </w:rPr>
              <w:t>Приватне АКЦІОНЕРНЕ ТОВАРИСТВО</w:t>
            </w:r>
          </w:p>
          <w:p w:rsidR="00B54CB7" w:rsidRPr="003D2F76" w:rsidRDefault="00B54CB7" w:rsidP="00E14310">
            <w:pPr>
              <w:spacing w:line="0" w:lineRule="atLeast"/>
              <w:jc w:val="center"/>
              <w:rPr>
                <w:b/>
                <w:sz w:val="20"/>
                <w:lang w:val="uk-UA"/>
              </w:rPr>
            </w:pPr>
            <w:r w:rsidRPr="003D2F76">
              <w:rPr>
                <w:b/>
                <w:sz w:val="20"/>
                <w:lang w:val="uk-UA"/>
              </w:rPr>
              <w:t>«ЗВЕНИГОРОДСЬКИЙ СИРОРОБНИЙ КОМБІНАТ»,</w:t>
            </w:r>
          </w:p>
          <w:p w:rsidR="00B54CB7" w:rsidRPr="003D2F76" w:rsidRDefault="00B54CB7" w:rsidP="00E14310">
            <w:pPr>
              <w:spacing w:line="0" w:lineRule="atLeast"/>
              <w:jc w:val="center"/>
              <w:rPr>
                <w:b/>
                <w:sz w:val="20"/>
                <w:lang w:val="uk-UA"/>
              </w:rPr>
            </w:pPr>
            <w:r w:rsidRPr="003D2F76">
              <w:rPr>
                <w:b/>
                <w:sz w:val="20"/>
                <w:lang w:val="uk-UA"/>
              </w:rPr>
              <w:t>(код ЄДРПОУ: 00447818)</w:t>
            </w:r>
          </w:p>
          <w:p w:rsidR="00B54CB7" w:rsidRPr="003D2F76" w:rsidRDefault="00B54CB7" w:rsidP="00E14310">
            <w:pPr>
              <w:spacing w:line="0" w:lineRule="atLeast"/>
              <w:jc w:val="center"/>
              <w:rPr>
                <w:b/>
                <w:sz w:val="20"/>
                <w:lang w:val="uk-UA"/>
              </w:rPr>
            </w:pPr>
          </w:p>
          <w:p w:rsidR="00B54CB7" w:rsidRPr="003D2F76" w:rsidRDefault="00B54CB7" w:rsidP="00E14310">
            <w:pPr>
              <w:spacing w:line="0" w:lineRule="atLeast"/>
              <w:jc w:val="both"/>
              <w:rPr>
                <w:sz w:val="20"/>
                <w:lang w:val="uk-UA"/>
              </w:rPr>
            </w:pPr>
            <w:r w:rsidRPr="003D2F76">
              <w:rPr>
                <w:sz w:val="20"/>
                <w:lang w:val="uk-UA"/>
              </w:rPr>
              <w:t xml:space="preserve">повідомляє про проведення позачергових загальних зборів акціонерів Приватного акціонерного товариства «Звенигородський сироробний комбінат (надалі – «Товариство»), які скликані згідно рішення Наглядової ради Товариства від </w:t>
            </w:r>
            <w:r w:rsidR="00A61EED">
              <w:rPr>
                <w:sz w:val="20"/>
                <w:lang w:val="uk-UA"/>
              </w:rPr>
              <w:t>0</w:t>
            </w:r>
            <w:r w:rsidR="00A61EED" w:rsidRPr="00A61EED">
              <w:rPr>
                <w:sz w:val="20"/>
                <w:lang w:val="uk-UA"/>
              </w:rPr>
              <w:t>8</w:t>
            </w:r>
            <w:r>
              <w:rPr>
                <w:sz w:val="20"/>
                <w:lang w:val="uk-UA"/>
              </w:rPr>
              <w:t xml:space="preserve"> серпня </w:t>
            </w:r>
            <w:r w:rsidRPr="003D2F76">
              <w:rPr>
                <w:sz w:val="20"/>
                <w:lang w:val="uk-UA"/>
              </w:rPr>
              <w:t xml:space="preserve"> 2018 року.</w:t>
            </w:r>
          </w:p>
          <w:p w:rsidR="00B54CB7" w:rsidRPr="003D2F76" w:rsidRDefault="00B54CB7" w:rsidP="00E14310">
            <w:pPr>
              <w:spacing w:line="0" w:lineRule="atLeast"/>
              <w:jc w:val="both"/>
              <w:rPr>
                <w:bCs/>
                <w:sz w:val="20"/>
                <w:lang w:val="uk-UA"/>
              </w:rPr>
            </w:pPr>
          </w:p>
        </w:tc>
      </w:tr>
      <w:tr w:rsidR="00B54CB7" w:rsidRPr="00A61EED" w:rsidTr="00A61EED">
        <w:trPr>
          <w:trHeight w:val="80"/>
        </w:trPr>
        <w:tc>
          <w:tcPr>
            <w:tcW w:w="9923" w:type="dxa"/>
            <w:shd w:val="clear" w:color="auto" w:fill="auto"/>
          </w:tcPr>
          <w:p w:rsidR="00B54CB7" w:rsidRPr="003D2F76" w:rsidRDefault="00B54CB7" w:rsidP="00E14310">
            <w:pPr>
              <w:spacing w:line="0" w:lineRule="atLeast"/>
              <w:jc w:val="both"/>
              <w:rPr>
                <w:sz w:val="20"/>
                <w:lang w:val="uk-UA"/>
              </w:rPr>
            </w:pPr>
            <w:r w:rsidRPr="003D2F76">
              <w:rPr>
                <w:rStyle w:val="a4"/>
                <w:bCs w:val="0"/>
                <w:sz w:val="20"/>
                <w:lang w:val="uk-UA"/>
              </w:rPr>
              <w:t>Місцезнаходження товариства:</w:t>
            </w:r>
            <w:r w:rsidRPr="003D2F76">
              <w:rPr>
                <w:rStyle w:val="a4"/>
                <w:b w:val="0"/>
                <w:bCs w:val="0"/>
                <w:sz w:val="20"/>
                <w:lang w:val="uk-UA"/>
              </w:rPr>
              <w:t xml:space="preserve"> </w:t>
            </w:r>
            <w:r w:rsidRPr="003D2F76">
              <w:rPr>
                <w:sz w:val="20"/>
                <w:lang w:val="uk-UA"/>
              </w:rPr>
              <w:t>20202, Черкаська область, м. Звенигородка, вул. Козачанська, буд. 35а</w:t>
            </w:r>
          </w:p>
          <w:p w:rsidR="00B54CB7" w:rsidRPr="003D2F76" w:rsidRDefault="00B54CB7" w:rsidP="00E14310">
            <w:pPr>
              <w:spacing w:line="0" w:lineRule="atLeast"/>
              <w:jc w:val="both"/>
              <w:rPr>
                <w:sz w:val="20"/>
                <w:lang w:val="uk-UA"/>
              </w:rPr>
            </w:pPr>
            <w:r w:rsidRPr="003D2F76">
              <w:rPr>
                <w:rStyle w:val="a4"/>
                <w:bCs w:val="0"/>
                <w:sz w:val="20"/>
                <w:lang w:val="uk-UA"/>
              </w:rPr>
              <w:t>Дата, час та місце проведення позачергових загальних зборів:</w:t>
            </w:r>
            <w:r w:rsidRPr="003D2F76">
              <w:rPr>
                <w:rStyle w:val="a4"/>
                <w:b w:val="0"/>
                <w:bCs w:val="0"/>
                <w:sz w:val="20"/>
                <w:lang w:val="uk-UA"/>
              </w:rPr>
              <w:t xml:space="preserve"> «27» вересня 2018 року </w:t>
            </w:r>
            <w:r w:rsidRPr="003D2F76">
              <w:rPr>
                <w:sz w:val="20"/>
                <w:lang w:val="uk-UA"/>
              </w:rPr>
              <w:t>о 14 годині 00 хвилин, за адресою: 20202, Черкаська область, м. Звенигоро</w:t>
            </w:r>
            <w:r w:rsidR="00A61EED">
              <w:rPr>
                <w:sz w:val="20"/>
                <w:lang w:val="uk-UA"/>
              </w:rPr>
              <w:t xml:space="preserve">дка, </w:t>
            </w:r>
            <w:r w:rsidRPr="003D2F76">
              <w:rPr>
                <w:sz w:val="20"/>
                <w:lang w:val="uk-UA"/>
              </w:rPr>
              <w:t xml:space="preserve"> вул. Козачанська, буд. 35 а,  в приміщенні  актового залу Товариства.</w:t>
            </w:r>
          </w:p>
          <w:p w:rsidR="00B54CB7" w:rsidRPr="003D2F76" w:rsidRDefault="00B54CB7" w:rsidP="00E14310">
            <w:pPr>
              <w:spacing w:line="0" w:lineRule="atLeast"/>
              <w:jc w:val="both"/>
              <w:rPr>
                <w:rStyle w:val="a4"/>
                <w:b w:val="0"/>
                <w:bCs w:val="0"/>
                <w:sz w:val="20"/>
                <w:lang w:val="uk-UA"/>
              </w:rPr>
            </w:pPr>
            <w:r w:rsidRPr="003D2F76">
              <w:rPr>
                <w:rStyle w:val="a4"/>
                <w:bCs w:val="0"/>
                <w:sz w:val="20"/>
                <w:lang w:val="uk-UA"/>
              </w:rPr>
              <w:t>Час початку і закінчення реєстрації акціонерів для участі у загальних зборах:</w:t>
            </w:r>
            <w:r w:rsidRPr="003D2F76">
              <w:rPr>
                <w:rStyle w:val="a4"/>
                <w:b w:val="0"/>
                <w:bCs w:val="0"/>
                <w:sz w:val="20"/>
                <w:lang w:val="uk-UA"/>
              </w:rPr>
              <w:t xml:space="preserve"> реєстрація акціонер</w:t>
            </w:r>
            <w:r>
              <w:rPr>
                <w:rStyle w:val="a4"/>
                <w:b w:val="0"/>
                <w:bCs w:val="0"/>
                <w:sz w:val="20"/>
                <w:lang w:val="uk-UA"/>
              </w:rPr>
              <w:t xml:space="preserve">ів здійснюватиметься «27» вересня </w:t>
            </w:r>
            <w:r w:rsidRPr="003D2F76">
              <w:rPr>
                <w:rStyle w:val="a4"/>
                <w:b w:val="0"/>
                <w:bCs w:val="0"/>
                <w:sz w:val="20"/>
                <w:lang w:val="uk-UA"/>
              </w:rPr>
              <w:t xml:space="preserve"> 2018 року з 13:00 до 13:50 години за місцем проведення зборів.</w:t>
            </w:r>
          </w:p>
          <w:p w:rsidR="00B54CB7" w:rsidRPr="003D2F76" w:rsidRDefault="00B54CB7" w:rsidP="00E14310">
            <w:pPr>
              <w:spacing w:line="0" w:lineRule="atLeast"/>
              <w:jc w:val="both"/>
              <w:rPr>
                <w:sz w:val="20"/>
                <w:lang w:val="uk-UA"/>
              </w:rPr>
            </w:pPr>
            <w:r w:rsidRPr="003D2F76">
              <w:rPr>
                <w:rStyle w:val="a4"/>
                <w:bCs w:val="0"/>
                <w:sz w:val="20"/>
                <w:lang w:val="uk-UA"/>
              </w:rPr>
              <w:t>Дата складання переліку акціонерів, які мають право на участь у загальних зборах:</w:t>
            </w:r>
            <w:r>
              <w:rPr>
                <w:rStyle w:val="a4"/>
                <w:b w:val="0"/>
                <w:bCs w:val="0"/>
                <w:sz w:val="20"/>
                <w:lang w:val="uk-UA"/>
              </w:rPr>
              <w:t xml:space="preserve"> на 24:00 годину «21» вересня </w:t>
            </w:r>
            <w:r w:rsidRPr="003D2F76">
              <w:rPr>
                <w:rStyle w:val="a4"/>
                <w:b w:val="0"/>
                <w:bCs w:val="0"/>
                <w:sz w:val="20"/>
                <w:lang w:val="uk-UA"/>
              </w:rPr>
              <w:t xml:space="preserve"> 2018 року.</w:t>
            </w:r>
          </w:p>
          <w:p w:rsidR="00B54CB7" w:rsidRPr="003D2F76" w:rsidRDefault="00B54CB7" w:rsidP="00E14310">
            <w:pPr>
              <w:spacing w:line="0" w:lineRule="atLeast"/>
              <w:jc w:val="both"/>
              <w:rPr>
                <w:sz w:val="20"/>
                <w:lang w:val="uk-UA"/>
              </w:rPr>
            </w:pPr>
          </w:p>
          <w:p w:rsidR="00B54CB7" w:rsidRPr="003D2F76" w:rsidRDefault="00B54CB7" w:rsidP="00E14310">
            <w:pPr>
              <w:spacing w:line="0" w:lineRule="atLeast"/>
              <w:jc w:val="center"/>
              <w:rPr>
                <w:b/>
                <w:sz w:val="20"/>
                <w:lang w:val="uk-UA"/>
              </w:rPr>
            </w:pPr>
            <w:r w:rsidRPr="003D2F76">
              <w:rPr>
                <w:b/>
                <w:sz w:val="20"/>
                <w:lang w:val="uk-UA"/>
              </w:rPr>
              <w:t>ПРОЕКТ ПОРЯДКУ ДЕННОГО:</w:t>
            </w:r>
          </w:p>
          <w:p w:rsidR="00B54CB7" w:rsidRPr="003D2F76" w:rsidRDefault="00B54CB7" w:rsidP="00E14310">
            <w:pPr>
              <w:spacing w:line="0" w:lineRule="atLeast"/>
              <w:jc w:val="both"/>
              <w:rPr>
                <w:sz w:val="20"/>
                <w:lang w:val="uk-UA"/>
              </w:rPr>
            </w:pPr>
          </w:p>
          <w:p w:rsidR="00B54CB7" w:rsidRPr="003D2F76" w:rsidRDefault="00B54CB7" w:rsidP="00B54CB7">
            <w:pPr>
              <w:numPr>
                <w:ilvl w:val="0"/>
                <w:numId w:val="4"/>
              </w:numPr>
              <w:jc w:val="both"/>
              <w:rPr>
                <w:sz w:val="20"/>
                <w:lang w:val="uk-UA"/>
              </w:rPr>
            </w:pPr>
            <w:r w:rsidRPr="003D2F76">
              <w:rPr>
                <w:sz w:val="20"/>
                <w:lang w:val="uk-UA"/>
              </w:rPr>
              <w:t>Обрання Лічильної комісії Зборів.</w:t>
            </w:r>
          </w:p>
          <w:p w:rsidR="00B54CB7" w:rsidRPr="003D2F76" w:rsidRDefault="00B54CB7" w:rsidP="00B54CB7">
            <w:pPr>
              <w:numPr>
                <w:ilvl w:val="0"/>
                <w:numId w:val="4"/>
              </w:numPr>
              <w:jc w:val="both"/>
              <w:rPr>
                <w:sz w:val="20"/>
                <w:lang w:val="uk-UA"/>
              </w:rPr>
            </w:pPr>
            <w:r w:rsidRPr="003D2F76">
              <w:rPr>
                <w:sz w:val="20"/>
                <w:lang w:val="uk-UA"/>
              </w:rPr>
              <w:t>Обрання Голови та Секретаря Зборів.</w:t>
            </w:r>
          </w:p>
          <w:p w:rsidR="00B54CB7" w:rsidRPr="003D2F76" w:rsidRDefault="00B54CB7" w:rsidP="00B54CB7">
            <w:pPr>
              <w:numPr>
                <w:ilvl w:val="0"/>
                <w:numId w:val="4"/>
              </w:numPr>
              <w:jc w:val="both"/>
              <w:rPr>
                <w:sz w:val="20"/>
                <w:lang w:val="uk-UA"/>
              </w:rPr>
            </w:pPr>
            <w:r w:rsidRPr="003D2F76">
              <w:rPr>
                <w:sz w:val="20"/>
                <w:lang w:val="uk-UA"/>
              </w:rPr>
              <w:t>Припинення повноважень Голови та членів Наглядової Ради Товариства.</w:t>
            </w:r>
          </w:p>
          <w:p w:rsidR="00B54CB7" w:rsidRPr="003D2F76" w:rsidRDefault="00B54CB7" w:rsidP="00B54CB7">
            <w:pPr>
              <w:numPr>
                <w:ilvl w:val="0"/>
                <w:numId w:val="4"/>
              </w:numPr>
              <w:jc w:val="both"/>
              <w:rPr>
                <w:sz w:val="20"/>
                <w:lang w:val="uk-UA"/>
              </w:rPr>
            </w:pPr>
            <w:r w:rsidRPr="003D2F76">
              <w:rPr>
                <w:sz w:val="20"/>
                <w:lang w:val="uk-UA"/>
              </w:rPr>
              <w:t>Обрання Голови та членів Наглядової Ради Товариства, затвердження умов договорів, що укладатимуться з ними, встановлення розміру їх винагороди, обрання особи, яка уповноважується на підписання договорів з Головою та членами Наглядової Ради Товариства.</w:t>
            </w:r>
          </w:p>
          <w:p w:rsidR="00B54CB7" w:rsidRDefault="00B54CB7" w:rsidP="00B54CB7">
            <w:pPr>
              <w:numPr>
                <w:ilvl w:val="0"/>
                <w:numId w:val="4"/>
              </w:numPr>
              <w:jc w:val="both"/>
              <w:rPr>
                <w:sz w:val="20"/>
                <w:lang w:val="uk-UA"/>
              </w:rPr>
            </w:pPr>
            <w:r w:rsidRPr="003D2F76">
              <w:rPr>
                <w:sz w:val="20"/>
                <w:lang w:val="uk-UA"/>
              </w:rPr>
              <w:t>Схвалення значного правочину.</w:t>
            </w:r>
          </w:p>
          <w:p w:rsidR="00B54CB7" w:rsidRPr="003D2F76" w:rsidRDefault="00B54CB7" w:rsidP="00E14310">
            <w:pPr>
              <w:ind w:left="675"/>
              <w:jc w:val="both"/>
              <w:rPr>
                <w:sz w:val="20"/>
                <w:lang w:val="uk-UA"/>
              </w:rPr>
            </w:pPr>
          </w:p>
          <w:p w:rsidR="00B54CB7" w:rsidRPr="003D2F76" w:rsidRDefault="00B54CB7" w:rsidP="00E14310">
            <w:pPr>
              <w:spacing w:line="0" w:lineRule="atLeast"/>
              <w:jc w:val="both"/>
              <w:rPr>
                <w:sz w:val="20"/>
                <w:lang w:val="uk-UA"/>
              </w:rPr>
            </w:pPr>
          </w:p>
          <w:p w:rsidR="00B54CB7" w:rsidRPr="003D2F76" w:rsidRDefault="00B54CB7" w:rsidP="00E14310">
            <w:pPr>
              <w:spacing w:line="0" w:lineRule="atLeast"/>
              <w:jc w:val="both"/>
              <w:rPr>
                <w:sz w:val="20"/>
                <w:lang w:val="uk-UA"/>
              </w:rPr>
            </w:pPr>
            <w:r w:rsidRPr="003D2F76">
              <w:rPr>
                <w:sz w:val="20"/>
                <w:lang w:val="uk-UA"/>
              </w:rPr>
              <w:t xml:space="preserve">У загальних зборах можуть брати участь особи, включені до переліку акціонерів, які мають право на таку участь, або їх представники. При реєстрації для участі в загальних зборах акціонерам при собі мати паспорт або інший офіційний документ, що посвідчує особу; </w:t>
            </w:r>
          </w:p>
          <w:p w:rsidR="00B54CB7" w:rsidRPr="003D2F76" w:rsidRDefault="00B54CB7" w:rsidP="00E14310">
            <w:pPr>
              <w:spacing w:line="0" w:lineRule="atLeast"/>
              <w:jc w:val="both"/>
              <w:rPr>
                <w:sz w:val="20"/>
                <w:lang w:val="uk-UA"/>
              </w:rPr>
            </w:pPr>
            <w:r w:rsidRPr="003D2F76">
              <w:rPr>
                <w:sz w:val="20"/>
                <w:lang w:val="uk-UA"/>
              </w:rPr>
              <w:t>для представника акціонера (юридичної особи) - документ, що свідчить про повноваження посадової особи брати участь у загальних зборах (оригінал, або нотаріально завірену копію), або довіреність на право участі у загальних зборах, оформлену згідно з чинним законодавством України;</w:t>
            </w:r>
          </w:p>
          <w:p w:rsidR="00B54CB7" w:rsidRPr="003D2F76" w:rsidRDefault="00B54CB7" w:rsidP="00E14310">
            <w:pPr>
              <w:spacing w:line="0" w:lineRule="atLeast"/>
              <w:jc w:val="both"/>
              <w:rPr>
                <w:sz w:val="20"/>
                <w:lang w:val="uk-UA"/>
              </w:rPr>
            </w:pPr>
            <w:r w:rsidRPr="003D2F76">
              <w:rPr>
                <w:sz w:val="20"/>
                <w:lang w:val="uk-UA"/>
              </w:rPr>
              <w:t>для представника акціонера (фізичної особи) крім паспорта - довіреність на право участі та голосуванні на загальних зборах, оформлена згідно з чинним  законодавством України.</w:t>
            </w:r>
          </w:p>
          <w:p w:rsidR="00B54CB7" w:rsidRPr="003D2F76" w:rsidRDefault="00B54CB7" w:rsidP="00E14310">
            <w:pPr>
              <w:spacing w:line="0" w:lineRule="atLeast"/>
              <w:jc w:val="both"/>
              <w:rPr>
                <w:sz w:val="20"/>
                <w:lang w:val="uk-UA"/>
              </w:rPr>
            </w:pPr>
            <w:r w:rsidRPr="003D2F76">
              <w:rPr>
                <w:sz w:val="20"/>
                <w:lang w:val="uk-UA"/>
              </w:rPr>
              <w:t>Довіреність на право участі та голосування на загальних зборах може містити завдання щодо голосування.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або замінити свого представника на загальних зборах. Надання довіреності на право участі та голосування на загальних зборах не виключає право участі акціонера, який видав довіреність, замість свого представника.</w:t>
            </w:r>
          </w:p>
          <w:p w:rsidR="00B54CB7" w:rsidRPr="003D2F76" w:rsidRDefault="00B54CB7" w:rsidP="00E14310">
            <w:pPr>
              <w:spacing w:line="0" w:lineRule="atLeast"/>
              <w:jc w:val="both"/>
              <w:rPr>
                <w:sz w:val="20"/>
                <w:lang w:val="uk-UA"/>
              </w:rPr>
            </w:pPr>
            <w:r w:rsidRPr="003D2F76">
              <w:rPr>
                <w:sz w:val="20"/>
                <w:lang w:val="uk-UA"/>
              </w:rPr>
              <w:t xml:space="preserve">Відповідно до ст. 36 Закону України “Про акціонерні товариства” до дня скликання загальних зборів Ви маєте можливість ознайомитись з документами, необхідними для прийняття рішень з питань порядку денного, за місцезнаходженням товариства: 20202, Черкаська область, м. Звенигородка, вул. Козачанська, буд. 35а, кімната 206 у робочі дні з 10-00 години до 16-00 години, а також в день проведення зборів – у місці їх проведення з 13:00 год. до 13:45 год.   Особою, відповідальною за порядок ознайомлення акціонерів з документами є член Наглядової ради  Теліга Ігор Іванович, тел. 0(4740) 2-28-23. </w:t>
            </w:r>
          </w:p>
          <w:p w:rsidR="00B54CB7" w:rsidRPr="003D2F76" w:rsidRDefault="00B54CB7" w:rsidP="00E14310">
            <w:pPr>
              <w:spacing w:line="0" w:lineRule="atLeast"/>
              <w:jc w:val="both"/>
              <w:rPr>
                <w:sz w:val="20"/>
                <w:lang w:val="uk-UA"/>
              </w:rPr>
            </w:pPr>
            <w:r w:rsidRPr="003D2F76">
              <w:rPr>
                <w:sz w:val="20"/>
                <w:lang w:val="uk-UA"/>
              </w:rPr>
              <w:tab/>
              <w:t>Акціонер до проведення зборів за запитом має можливість ознайомитися з проектом (проектами) рішення з питань порядку денного.</w:t>
            </w:r>
          </w:p>
          <w:p w:rsidR="00B54CB7" w:rsidRPr="003D2F76" w:rsidRDefault="00B54CB7" w:rsidP="00E14310">
            <w:pPr>
              <w:spacing w:line="0" w:lineRule="atLeast"/>
              <w:jc w:val="both"/>
              <w:rPr>
                <w:sz w:val="20"/>
                <w:lang w:val="uk-UA"/>
              </w:rPr>
            </w:pPr>
            <w:r w:rsidRPr="003D2F76">
              <w:rPr>
                <w:sz w:val="20"/>
                <w:lang w:val="uk-UA"/>
              </w:rPr>
              <w:t>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не пізніше ніж за сім днів до дати проведення загальних зборів.</w:t>
            </w:r>
          </w:p>
          <w:p w:rsidR="00B54CB7" w:rsidRPr="003D2F76" w:rsidRDefault="00B54CB7" w:rsidP="00E14310">
            <w:pPr>
              <w:spacing w:line="0" w:lineRule="atLeast"/>
              <w:jc w:val="both"/>
              <w:rPr>
                <w:sz w:val="20"/>
                <w:lang w:val="uk-UA"/>
              </w:rPr>
            </w:pPr>
            <w:r w:rsidRPr="003D2F76">
              <w:rPr>
                <w:sz w:val="20"/>
                <w:lang w:val="uk-UA"/>
              </w:rPr>
              <w:t>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w:t>
            </w:r>
          </w:p>
          <w:p w:rsidR="00B54CB7" w:rsidRPr="003D2F76" w:rsidRDefault="00B54CB7" w:rsidP="00E14310">
            <w:pPr>
              <w:spacing w:line="0" w:lineRule="atLeast"/>
              <w:jc w:val="both"/>
              <w:rPr>
                <w:sz w:val="20"/>
                <w:lang w:val="uk-UA"/>
              </w:rPr>
            </w:pPr>
            <w:r w:rsidRPr="003D2F76">
              <w:rPr>
                <w:sz w:val="20"/>
                <w:lang w:val="uk-UA"/>
              </w:rPr>
              <w:t xml:space="preserve">Пропозиція до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rsidR="00B54CB7" w:rsidRPr="003D2F76" w:rsidRDefault="00B54CB7" w:rsidP="00E14310">
            <w:pPr>
              <w:spacing w:line="0" w:lineRule="atLeast"/>
              <w:jc w:val="both"/>
              <w:rPr>
                <w:sz w:val="20"/>
                <w:lang w:val="uk-UA"/>
              </w:rPr>
            </w:pPr>
            <w:r w:rsidRPr="003D2F76">
              <w:rPr>
                <w:sz w:val="20"/>
                <w:lang w:val="uk-UA"/>
              </w:rPr>
              <w:t>Адреса власного веб-сайту, на якому розміщено інформацію  з проектами  рішень щодо кожного з питань, включених до проекту порядку денного - www.zvenigora.com/   Телефон для довідок: 0(4740) 2-28-23.</w:t>
            </w:r>
          </w:p>
          <w:p w:rsidR="00B54CB7" w:rsidRPr="003D2F76" w:rsidRDefault="00B54CB7" w:rsidP="00E14310">
            <w:pPr>
              <w:spacing w:line="0" w:lineRule="atLeast"/>
              <w:jc w:val="both"/>
              <w:rPr>
                <w:sz w:val="20"/>
                <w:lang w:val="uk-UA"/>
              </w:rPr>
            </w:pPr>
            <w:bookmarkStart w:id="0" w:name="_GoBack"/>
            <w:bookmarkEnd w:id="0"/>
          </w:p>
        </w:tc>
      </w:tr>
      <w:tr w:rsidR="00B54CB7" w:rsidRPr="00A61EED" w:rsidTr="00B54CB7">
        <w:trPr>
          <w:trHeight w:val="568"/>
        </w:trPr>
        <w:tc>
          <w:tcPr>
            <w:tcW w:w="9923" w:type="dxa"/>
            <w:shd w:val="clear" w:color="auto" w:fill="auto"/>
          </w:tcPr>
          <w:p w:rsidR="00B54CB7" w:rsidRPr="00D10F86" w:rsidRDefault="00B54CB7" w:rsidP="00E14310">
            <w:pPr>
              <w:spacing w:line="0" w:lineRule="atLeast"/>
              <w:jc w:val="center"/>
              <w:rPr>
                <w:b/>
                <w:sz w:val="20"/>
                <w:lang w:val="uk-UA"/>
              </w:rPr>
            </w:pPr>
            <w:r w:rsidRPr="003D2F76">
              <w:rPr>
                <w:b/>
                <w:sz w:val="20"/>
                <w:lang w:val="uk-UA"/>
              </w:rPr>
              <w:lastRenderedPageBreak/>
              <w:t>Проекти рішень з питань включених до проекту порядку денного:</w:t>
            </w:r>
          </w:p>
        </w:tc>
      </w:tr>
      <w:tr w:rsidR="00B54CB7" w:rsidRPr="00A61EED" w:rsidTr="00B54CB7">
        <w:trPr>
          <w:trHeight w:val="1909"/>
        </w:trPr>
        <w:tc>
          <w:tcPr>
            <w:tcW w:w="9923" w:type="dxa"/>
            <w:shd w:val="clear" w:color="auto" w:fill="auto"/>
          </w:tcPr>
          <w:p w:rsidR="00B54CB7" w:rsidRPr="003D2F76" w:rsidRDefault="00B54CB7" w:rsidP="00B54CB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b/>
                <w:sz w:val="20"/>
                <w:lang w:val="uk-UA"/>
              </w:rPr>
            </w:pPr>
            <w:r w:rsidRPr="003D2F76">
              <w:rPr>
                <w:b/>
                <w:sz w:val="20"/>
                <w:lang w:val="uk-UA"/>
              </w:rPr>
              <w:t>Обрання Лічильної комісії Зборів.</w:t>
            </w:r>
          </w:p>
          <w:p w:rsidR="00B54CB7" w:rsidRPr="003D2F76" w:rsidRDefault="00B54CB7" w:rsidP="00E14310">
            <w:pPr>
              <w:spacing w:line="0" w:lineRule="atLeast"/>
              <w:jc w:val="both"/>
              <w:rPr>
                <w:b/>
                <w:sz w:val="20"/>
                <w:lang w:val="uk-UA"/>
              </w:rPr>
            </w:pPr>
            <w:r w:rsidRPr="003D2F76">
              <w:rPr>
                <w:b/>
                <w:sz w:val="20"/>
                <w:lang w:val="uk-UA"/>
              </w:rPr>
              <w:t>Проект рішення:</w:t>
            </w:r>
          </w:p>
          <w:p w:rsidR="00B54CB7" w:rsidRPr="003D2F76" w:rsidRDefault="00B54CB7" w:rsidP="00E14310">
            <w:pPr>
              <w:spacing w:line="0" w:lineRule="atLeast"/>
              <w:jc w:val="both"/>
              <w:rPr>
                <w:rStyle w:val="FontStyle12"/>
                <w:b w:val="0"/>
                <w:bCs w:val="0"/>
                <w:sz w:val="20"/>
                <w:lang w:val="uk-UA"/>
              </w:rPr>
            </w:pPr>
            <w:r w:rsidRPr="003D2F76">
              <w:rPr>
                <w:rStyle w:val="FontStyle12"/>
                <w:b w:val="0"/>
                <w:bCs w:val="0"/>
                <w:sz w:val="20"/>
                <w:lang w:val="uk-UA"/>
              </w:rPr>
              <w:t>«Обрати Лічильну комісію</w:t>
            </w:r>
            <w:r>
              <w:rPr>
                <w:rStyle w:val="FontStyle12"/>
                <w:b w:val="0"/>
                <w:bCs w:val="0"/>
                <w:sz w:val="20"/>
                <w:lang w:val="uk-UA"/>
              </w:rPr>
              <w:t xml:space="preserve"> </w:t>
            </w:r>
            <w:r w:rsidRPr="003D2F76">
              <w:rPr>
                <w:rStyle w:val="FontStyle12"/>
                <w:b w:val="0"/>
                <w:bCs w:val="0"/>
                <w:sz w:val="20"/>
                <w:lang w:val="uk-UA"/>
              </w:rPr>
              <w:t>у складі трьох осіб, а саме:</w:t>
            </w:r>
          </w:p>
          <w:p w:rsidR="00B54CB7" w:rsidRPr="003D2F76" w:rsidRDefault="00B54CB7" w:rsidP="00B54CB7">
            <w:pPr>
              <w:pStyle w:val="Style6"/>
              <w:widowControl/>
              <w:numPr>
                <w:ilvl w:val="0"/>
                <w:numId w:val="2"/>
              </w:numPr>
              <w:tabs>
                <w:tab w:val="left" w:pos="346"/>
              </w:tabs>
              <w:spacing w:before="10" w:line="269" w:lineRule="exact"/>
              <w:rPr>
                <w:rStyle w:val="FontStyle14"/>
                <w:sz w:val="20"/>
                <w:szCs w:val="20"/>
                <w:lang w:val="uk-UA" w:eastAsia="ru-RU"/>
              </w:rPr>
            </w:pPr>
            <w:r w:rsidRPr="003D2F76">
              <w:rPr>
                <w:rStyle w:val="FontStyle14"/>
                <w:sz w:val="20"/>
                <w:szCs w:val="20"/>
                <w:lang w:val="uk-UA" w:eastAsia="ru-RU"/>
              </w:rPr>
              <w:t>Дахненко Анастасія Володимирівна - Голова Лічильної комісії;</w:t>
            </w:r>
          </w:p>
          <w:p w:rsidR="00B54CB7" w:rsidRPr="003D2F76" w:rsidRDefault="00B54CB7" w:rsidP="00B54CB7">
            <w:pPr>
              <w:pStyle w:val="Style6"/>
              <w:widowControl/>
              <w:numPr>
                <w:ilvl w:val="0"/>
                <w:numId w:val="2"/>
              </w:numPr>
              <w:tabs>
                <w:tab w:val="left" w:pos="346"/>
              </w:tabs>
              <w:spacing w:before="10" w:line="269" w:lineRule="exact"/>
              <w:rPr>
                <w:rStyle w:val="FontStyle14"/>
                <w:sz w:val="20"/>
                <w:szCs w:val="20"/>
                <w:lang w:val="uk-UA" w:eastAsia="ru-RU"/>
              </w:rPr>
            </w:pPr>
            <w:r w:rsidRPr="003D2F76">
              <w:rPr>
                <w:rStyle w:val="FontStyle14"/>
                <w:sz w:val="20"/>
                <w:szCs w:val="20"/>
                <w:lang w:val="uk-UA" w:eastAsia="ru-RU"/>
              </w:rPr>
              <w:t>Лазаренко Людмила Василівна - член Лічильної комісії;</w:t>
            </w:r>
          </w:p>
          <w:p w:rsidR="00B54CB7" w:rsidRPr="003D2F76" w:rsidRDefault="00B54CB7" w:rsidP="00B54CB7">
            <w:pPr>
              <w:pStyle w:val="Style6"/>
              <w:widowControl/>
              <w:numPr>
                <w:ilvl w:val="0"/>
                <w:numId w:val="2"/>
              </w:numPr>
              <w:tabs>
                <w:tab w:val="left" w:pos="346"/>
              </w:tabs>
              <w:spacing w:before="10" w:line="269" w:lineRule="exact"/>
              <w:rPr>
                <w:sz w:val="20"/>
                <w:szCs w:val="20"/>
                <w:lang w:val="uk-UA" w:eastAsia="ru-RU"/>
              </w:rPr>
            </w:pPr>
            <w:r w:rsidRPr="003D2F76">
              <w:rPr>
                <w:rStyle w:val="FontStyle14"/>
                <w:sz w:val="20"/>
                <w:szCs w:val="20"/>
                <w:lang w:val="uk-UA" w:eastAsia="ru-RU"/>
              </w:rPr>
              <w:t>Яковлева Тетяна Анатоліївна - член Лічильної комісії.»</w:t>
            </w:r>
          </w:p>
        </w:tc>
      </w:tr>
      <w:tr w:rsidR="00B54CB7" w:rsidRPr="003D2F76" w:rsidTr="00B54CB7">
        <w:trPr>
          <w:trHeight w:val="1214"/>
        </w:trPr>
        <w:tc>
          <w:tcPr>
            <w:tcW w:w="9923" w:type="dxa"/>
            <w:shd w:val="clear" w:color="auto" w:fill="auto"/>
          </w:tcPr>
          <w:p w:rsidR="00B54CB7" w:rsidRPr="003D2F76" w:rsidRDefault="00B54CB7" w:rsidP="00B54CB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b/>
                <w:sz w:val="20"/>
                <w:lang w:val="uk-UA"/>
              </w:rPr>
            </w:pPr>
            <w:r w:rsidRPr="003D2F76">
              <w:rPr>
                <w:b/>
                <w:sz w:val="20"/>
                <w:lang w:val="uk-UA"/>
              </w:rPr>
              <w:t>Обрання Голови та Секретаря Зборів.</w:t>
            </w:r>
          </w:p>
          <w:p w:rsidR="00B54CB7" w:rsidRPr="003D2F76" w:rsidRDefault="00B54CB7" w:rsidP="00E14310">
            <w:pPr>
              <w:spacing w:line="0" w:lineRule="atLeast"/>
              <w:jc w:val="both"/>
              <w:rPr>
                <w:b/>
                <w:sz w:val="20"/>
                <w:lang w:val="uk-UA"/>
              </w:rPr>
            </w:pPr>
            <w:r w:rsidRPr="003D2F76">
              <w:rPr>
                <w:b/>
                <w:sz w:val="20"/>
                <w:lang w:val="uk-UA"/>
              </w:rPr>
              <w:t>Проект рішення:</w:t>
            </w:r>
          </w:p>
          <w:p w:rsidR="00B54CB7" w:rsidRPr="003D2F76" w:rsidRDefault="00B54CB7" w:rsidP="00E14310">
            <w:pPr>
              <w:spacing w:line="0" w:lineRule="atLeast"/>
              <w:jc w:val="both"/>
              <w:rPr>
                <w:sz w:val="20"/>
                <w:lang w:val="uk-UA"/>
              </w:rPr>
            </w:pPr>
            <w:r w:rsidRPr="003D2F76">
              <w:rPr>
                <w:rStyle w:val="FontStyle14"/>
                <w:sz w:val="20"/>
                <w:lang w:val="uk-UA"/>
              </w:rPr>
              <w:t>«Обрати Головою зборів - Вечерську Катерину Володимирівну, Секретарем зборів – Коваленко Євгенію Миколаївну.»</w:t>
            </w:r>
          </w:p>
        </w:tc>
      </w:tr>
      <w:tr w:rsidR="00B54CB7" w:rsidRPr="00A61EED" w:rsidTr="00B54CB7">
        <w:trPr>
          <w:trHeight w:val="1909"/>
        </w:trPr>
        <w:tc>
          <w:tcPr>
            <w:tcW w:w="9923" w:type="dxa"/>
            <w:shd w:val="clear" w:color="auto" w:fill="auto"/>
          </w:tcPr>
          <w:p w:rsidR="00B54CB7" w:rsidRPr="003D2F76" w:rsidRDefault="00B54CB7" w:rsidP="00B54CB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0"/>
                <w:lang w:val="uk-UA"/>
              </w:rPr>
            </w:pPr>
            <w:r w:rsidRPr="003D2F76">
              <w:rPr>
                <w:b/>
                <w:sz w:val="20"/>
                <w:lang w:val="uk-UA"/>
              </w:rPr>
              <w:t>Припинення повноважень Голови та членів Наглядової Ради Товариства.</w:t>
            </w:r>
          </w:p>
          <w:p w:rsidR="00B54CB7" w:rsidRPr="003D2F76" w:rsidRDefault="00B54CB7" w:rsidP="00E14310">
            <w:pPr>
              <w:spacing w:line="0" w:lineRule="atLeast"/>
              <w:jc w:val="both"/>
              <w:rPr>
                <w:b/>
                <w:sz w:val="20"/>
                <w:lang w:val="uk-UA"/>
              </w:rPr>
            </w:pPr>
            <w:r w:rsidRPr="003D2F76">
              <w:rPr>
                <w:b/>
                <w:sz w:val="20"/>
                <w:lang w:val="uk-UA"/>
              </w:rPr>
              <w:t xml:space="preserve"> Проект рішення:</w:t>
            </w:r>
          </w:p>
          <w:p w:rsidR="00B54CB7" w:rsidRPr="003D2F76" w:rsidRDefault="00B54CB7" w:rsidP="00E14310">
            <w:pPr>
              <w:spacing w:line="0" w:lineRule="atLeast"/>
              <w:jc w:val="both"/>
              <w:rPr>
                <w:sz w:val="20"/>
                <w:lang w:val="uk-UA"/>
              </w:rPr>
            </w:pPr>
            <w:r w:rsidRPr="003D2F76">
              <w:rPr>
                <w:rStyle w:val="FontStyle14"/>
                <w:sz w:val="20"/>
                <w:lang w:val="uk-UA"/>
              </w:rPr>
              <w:t>«</w:t>
            </w:r>
            <w:r w:rsidRPr="003D2F76">
              <w:rPr>
                <w:sz w:val="20"/>
                <w:lang w:val="uk-UA"/>
              </w:rPr>
              <w:t>Припинити повноваження Голови та членів Наглядової ради Товариства:</w:t>
            </w:r>
          </w:p>
          <w:p w:rsidR="00B54CB7" w:rsidRPr="003D2F76" w:rsidRDefault="00B54CB7" w:rsidP="00E14310">
            <w:pPr>
              <w:spacing w:line="0" w:lineRule="atLeast"/>
              <w:jc w:val="both"/>
              <w:rPr>
                <w:sz w:val="20"/>
                <w:lang w:val="uk-UA"/>
              </w:rPr>
            </w:pPr>
          </w:p>
          <w:p w:rsidR="00B54CB7" w:rsidRPr="003D2F76" w:rsidRDefault="00B54CB7" w:rsidP="00B54CB7">
            <w:pPr>
              <w:pStyle w:val="a3"/>
              <w:widowControl/>
              <w:numPr>
                <w:ilvl w:val="0"/>
                <w:numId w:val="3"/>
              </w:numPr>
              <w:autoSpaceDE/>
              <w:autoSpaceDN/>
              <w:adjustRightInd/>
              <w:spacing w:line="0" w:lineRule="atLeast"/>
              <w:jc w:val="both"/>
              <w:rPr>
                <w:sz w:val="20"/>
                <w:szCs w:val="20"/>
                <w:lang w:val="uk-UA" w:eastAsia="ru-RU"/>
              </w:rPr>
            </w:pPr>
            <w:r w:rsidRPr="003D2F76">
              <w:rPr>
                <w:sz w:val="20"/>
                <w:szCs w:val="20"/>
                <w:lang w:val="uk-UA" w:eastAsia="ru-RU"/>
              </w:rPr>
              <w:t>Голова Наглядової ради – Денисенко Олександр Петрович (акціонер)</w:t>
            </w:r>
          </w:p>
          <w:p w:rsidR="00B54CB7" w:rsidRPr="003D2F76" w:rsidRDefault="00B54CB7" w:rsidP="00B54CB7">
            <w:pPr>
              <w:pStyle w:val="a3"/>
              <w:widowControl/>
              <w:numPr>
                <w:ilvl w:val="0"/>
                <w:numId w:val="3"/>
              </w:numPr>
              <w:autoSpaceDE/>
              <w:autoSpaceDN/>
              <w:adjustRightInd/>
              <w:spacing w:line="0" w:lineRule="atLeast"/>
              <w:jc w:val="both"/>
              <w:rPr>
                <w:sz w:val="20"/>
                <w:szCs w:val="20"/>
                <w:lang w:val="uk-UA" w:eastAsia="ru-RU"/>
              </w:rPr>
            </w:pPr>
            <w:r w:rsidRPr="003D2F76">
              <w:rPr>
                <w:sz w:val="20"/>
                <w:szCs w:val="20"/>
                <w:lang w:val="uk-UA" w:eastAsia="ru-RU"/>
              </w:rPr>
              <w:t>Член Наглядової ради - П’єр Лавернь (представник акціонера Савенсія Фромаж енд Дейрі Європа)</w:t>
            </w:r>
          </w:p>
          <w:p w:rsidR="00B54CB7" w:rsidRPr="003D2F76" w:rsidRDefault="00B54CB7" w:rsidP="00B54CB7">
            <w:pPr>
              <w:pStyle w:val="a3"/>
              <w:widowControl/>
              <w:numPr>
                <w:ilvl w:val="0"/>
                <w:numId w:val="3"/>
              </w:numPr>
              <w:autoSpaceDE/>
              <w:autoSpaceDN/>
              <w:adjustRightInd/>
              <w:spacing w:line="0" w:lineRule="atLeast"/>
              <w:jc w:val="both"/>
              <w:rPr>
                <w:sz w:val="20"/>
                <w:szCs w:val="20"/>
                <w:lang w:val="uk-UA" w:eastAsia="ru-RU"/>
              </w:rPr>
            </w:pPr>
            <w:r w:rsidRPr="003D2F76">
              <w:rPr>
                <w:sz w:val="20"/>
                <w:szCs w:val="20"/>
                <w:lang w:val="uk-UA" w:eastAsia="ru-RU"/>
              </w:rPr>
              <w:t>Член Наглядової ради - Стефен Бушайє (представник акціонера Савенсія Фромаж енд Дейрі Європа)</w:t>
            </w:r>
          </w:p>
          <w:p w:rsidR="00B54CB7" w:rsidRPr="003D2F76" w:rsidRDefault="00B54CB7" w:rsidP="00E14310">
            <w:pPr>
              <w:jc w:val="both"/>
              <w:rPr>
                <w:sz w:val="20"/>
                <w:lang w:val="uk-UA"/>
              </w:rPr>
            </w:pPr>
            <w:r w:rsidRPr="00B54CB7">
              <w:rPr>
                <w:sz w:val="20"/>
                <w:lang w:val="ru-RU"/>
              </w:rPr>
              <w:t xml:space="preserve">       </w:t>
            </w:r>
            <w:r w:rsidRPr="003D2F76">
              <w:rPr>
                <w:sz w:val="20"/>
                <w:lang w:val="uk-UA"/>
              </w:rPr>
              <w:t>4)</w:t>
            </w:r>
            <w:r w:rsidRPr="003D2F76">
              <w:rPr>
                <w:sz w:val="20"/>
                <w:lang w:val="uk-UA"/>
              </w:rPr>
              <w:tab/>
              <w:t>Член Наглядової ради - Антуан Отран (представник акціонера Савенсія Фромаж енд Дейрі Європа)</w:t>
            </w:r>
          </w:p>
          <w:p w:rsidR="00B54CB7" w:rsidRDefault="00B54CB7" w:rsidP="00E14310">
            <w:pPr>
              <w:spacing w:line="0" w:lineRule="atLeast"/>
              <w:jc w:val="both"/>
              <w:rPr>
                <w:sz w:val="20"/>
                <w:lang w:val="uk-UA"/>
              </w:rPr>
            </w:pPr>
            <w:r w:rsidRPr="00B54CB7">
              <w:rPr>
                <w:sz w:val="20"/>
                <w:lang w:val="ru-RU"/>
              </w:rPr>
              <w:t xml:space="preserve">       </w:t>
            </w:r>
            <w:r w:rsidRPr="003D2F76">
              <w:rPr>
                <w:sz w:val="20"/>
                <w:lang w:val="uk-UA"/>
              </w:rPr>
              <w:t>5)</w:t>
            </w:r>
            <w:r w:rsidRPr="003D2F76">
              <w:rPr>
                <w:sz w:val="20"/>
                <w:lang w:val="uk-UA"/>
              </w:rPr>
              <w:tab/>
              <w:t>Член Наглядової ради - Теліга Ігор Іванович (акціонер).»</w:t>
            </w:r>
          </w:p>
          <w:p w:rsidR="00B54CB7" w:rsidRPr="003D2F76" w:rsidRDefault="00B54CB7" w:rsidP="00E14310">
            <w:pPr>
              <w:spacing w:line="0" w:lineRule="atLeast"/>
              <w:jc w:val="both"/>
              <w:rPr>
                <w:sz w:val="20"/>
                <w:lang w:val="uk-UA"/>
              </w:rPr>
            </w:pPr>
          </w:p>
        </w:tc>
      </w:tr>
      <w:tr w:rsidR="00B54CB7" w:rsidRPr="00A61EED" w:rsidTr="00B54CB7">
        <w:trPr>
          <w:trHeight w:val="1909"/>
        </w:trPr>
        <w:tc>
          <w:tcPr>
            <w:tcW w:w="9923" w:type="dxa"/>
            <w:shd w:val="clear" w:color="auto" w:fill="auto"/>
          </w:tcPr>
          <w:p w:rsidR="00B54CB7" w:rsidRDefault="00B54CB7" w:rsidP="00B54CB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0"/>
                <w:lang w:val="uk-UA"/>
              </w:rPr>
            </w:pPr>
            <w:r w:rsidRPr="003D2F76">
              <w:rPr>
                <w:b/>
                <w:sz w:val="20"/>
                <w:lang w:val="uk-UA"/>
              </w:rPr>
              <w:t>Обрання Голови та членів Наглядової Ради Товариства, затвердження умов договорів, що укладатимуться з ними, встановлення розміру їх винагороди, обрання особи, яка уповноважується на підписання договорів з Головою та членами Наглядової Ради Товариства.</w:t>
            </w:r>
          </w:p>
          <w:p w:rsidR="00B54CB7" w:rsidRPr="003D2F76" w:rsidRDefault="00B54CB7" w:rsidP="00E14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675"/>
              <w:jc w:val="both"/>
              <w:rPr>
                <w:b/>
                <w:sz w:val="20"/>
                <w:lang w:val="uk-UA"/>
              </w:rPr>
            </w:pPr>
          </w:p>
          <w:p w:rsidR="00B54CB7" w:rsidRPr="003D2F76" w:rsidRDefault="00B54CB7" w:rsidP="00E14310">
            <w:pPr>
              <w:spacing w:line="0" w:lineRule="atLeast"/>
              <w:jc w:val="both"/>
              <w:rPr>
                <w:b/>
                <w:sz w:val="20"/>
                <w:lang w:val="uk-UA"/>
              </w:rPr>
            </w:pPr>
            <w:r w:rsidRPr="003D2F76">
              <w:rPr>
                <w:b/>
                <w:sz w:val="20"/>
                <w:lang w:val="uk-UA"/>
              </w:rPr>
              <w:t xml:space="preserve"> Проект рішення:</w:t>
            </w:r>
          </w:p>
          <w:p w:rsidR="00B54CB7" w:rsidRPr="007225A5" w:rsidRDefault="00B54CB7" w:rsidP="00E14310">
            <w:pPr>
              <w:jc w:val="both"/>
              <w:rPr>
                <w:sz w:val="20"/>
                <w:lang w:val="ru-RU"/>
              </w:rPr>
            </w:pPr>
            <w:r w:rsidRPr="003D2F76">
              <w:rPr>
                <w:sz w:val="20"/>
                <w:lang w:val="uk-UA"/>
              </w:rPr>
              <w:t xml:space="preserve"> </w:t>
            </w:r>
            <w:r w:rsidRPr="007225A5">
              <w:rPr>
                <w:sz w:val="20"/>
                <w:lang w:val="ru-RU"/>
              </w:rPr>
              <w:t>Голова та члени Наглядової ради обираються шляхом кумулятивного голосування.</w:t>
            </w:r>
          </w:p>
        </w:tc>
      </w:tr>
      <w:tr w:rsidR="00B54CB7" w:rsidRPr="00A61EED" w:rsidTr="00B54CB7">
        <w:trPr>
          <w:trHeight w:val="1444"/>
        </w:trPr>
        <w:tc>
          <w:tcPr>
            <w:tcW w:w="9923" w:type="dxa"/>
            <w:shd w:val="clear" w:color="auto" w:fill="auto"/>
          </w:tcPr>
          <w:p w:rsidR="00B54CB7" w:rsidRPr="003D2F76" w:rsidRDefault="00B54CB7" w:rsidP="00B54CB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b/>
                <w:sz w:val="20"/>
                <w:lang w:val="uk-UA"/>
              </w:rPr>
            </w:pPr>
            <w:r w:rsidRPr="003D2F76">
              <w:rPr>
                <w:b/>
                <w:sz w:val="20"/>
                <w:lang w:val="uk-UA"/>
              </w:rPr>
              <w:t>Схвалення значного правочину.</w:t>
            </w:r>
          </w:p>
          <w:p w:rsidR="00B54CB7" w:rsidRPr="003D2F76" w:rsidRDefault="00B54CB7" w:rsidP="00E14310">
            <w:pPr>
              <w:spacing w:line="0" w:lineRule="atLeast"/>
              <w:jc w:val="both"/>
              <w:rPr>
                <w:b/>
                <w:sz w:val="20"/>
                <w:lang w:val="uk-UA"/>
              </w:rPr>
            </w:pPr>
            <w:r w:rsidRPr="003D2F76">
              <w:rPr>
                <w:b/>
                <w:sz w:val="20"/>
                <w:lang w:val="uk-UA"/>
              </w:rPr>
              <w:t>Проект рішення:</w:t>
            </w:r>
          </w:p>
          <w:p w:rsidR="00B54CB7" w:rsidRPr="003D2F76" w:rsidRDefault="00B54CB7" w:rsidP="00E14310">
            <w:pPr>
              <w:spacing w:line="0" w:lineRule="atLeast"/>
              <w:jc w:val="both"/>
              <w:rPr>
                <w:sz w:val="20"/>
                <w:lang w:val="uk-UA"/>
              </w:rPr>
            </w:pPr>
            <w:r w:rsidRPr="003D2F76">
              <w:rPr>
                <w:rStyle w:val="FontStyle14"/>
                <w:sz w:val="20"/>
                <w:lang w:val="uk-UA"/>
              </w:rPr>
              <w:t>«</w:t>
            </w:r>
            <w:r w:rsidRPr="003D2F76">
              <w:rPr>
                <w:sz w:val="20"/>
                <w:lang w:val="uk-UA"/>
              </w:rPr>
              <w:t>Схвалити Договір № Р 37864 з ТОВ «АТБ-маркет» від 01.01.2018 року, вартість якого може перевищити 25% вартості активів Товариства за даними останньої річної фінансової звітності.</w:t>
            </w:r>
            <w:r w:rsidRPr="003D2F76">
              <w:rPr>
                <w:rStyle w:val="FontStyle14"/>
                <w:sz w:val="20"/>
                <w:lang w:val="uk-UA"/>
              </w:rPr>
              <w:t>»</w:t>
            </w:r>
            <w:r w:rsidRPr="003D2F76">
              <w:rPr>
                <w:sz w:val="20"/>
                <w:lang w:val="uk-UA"/>
              </w:rPr>
              <w:t xml:space="preserve"> </w:t>
            </w:r>
          </w:p>
        </w:tc>
      </w:tr>
      <w:tr w:rsidR="00B54CB7" w:rsidRPr="00A61EED" w:rsidTr="00B54CB7">
        <w:trPr>
          <w:trHeight w:val="914"/>
        </w:trPr>
        <w:tc>
          <w:tcPr>
            <w:tcW w:w="9923" w:type="dxa"/>
            <w:shd w:val="clear" w:color="auto" w:fill="auto"/>
          </w:tcPr>
          <w:p w:rsidR="00B54CB7" w:rsidRPr="003D2F76" w:rsidRDefault="00B54CB7" w:rsidP="00E14310">
            <w:pPr>
              <w:spacing w:line="0" w:lineRule="atLeast"/>
              <w:jc w:val="both"/>
              <w:rPr>
                <w:sz w:val="20"/>
                <w:lang w:val="uk-UA"/>
              </w:rPr>
            </w:pPr>
            <w:r w:rsidRPr="003D2F76">
              <w:rPr>
                <w:sz w:val="20"/>
                <w:lang w:val="uk-UA"/>
              </w:rPr>
              <w:t>Відповідно до переліку акціонерів, яким надсилається письмове повідомлення про проведення загальних зборів акціонерного товариства, який отримано  від Публічного акціонерного товариства «Національний депоз</w:t>
            </w:r>
            <w:r>
              <w:rPr>
                <w:sz w:val="20"/>
                <w:lang w:val="uk-UA"/>
              </w:rPr>
              <w:t>итарій України»  станом  на «10» серпня</w:t>
            </w:r>
            <w:r w:rsidRPr="003D2F76">
              <w:rPr>
                <w:sz w:val="20"/>
                <w:lang w:val="uk-UA"/>
              </w:rPr>
              <w:t xml:space="preserve"> 2018 року загальна  кількість акцій Товариства становить  1 888 555 578  штук простих  іменних акцій, загальна кількість голосуючих акцій   1 887 946 198    штук.</w:t>
            </w:r>
          </w:p>
          <w:p w:rsidR="00B54CB7" w:rsidRPr="003D2F76" w:rsidRDefault="00B54CB7" w:rsidP="00E14310">
            <w:pPr>
              <w:spacing w:line="0" w:lineRule="atLeast"/>
              <w:jc w:val="both"/>
              <w:rPr>
                <w:sz w:val="20"/>
                <w:lang w:val="uk-UA"/>
              </w:rPr>
            </w:pPr>
          </w:p>
        </w:tc>
      </w:tr>
      <w:tr w:rsidR="00B54CB7" w:rsidRPr="00A61EED" w:rsidTr="00B54CB7">
        <w:tc>
          <w:tcPr>
            <w:tcW w:w="9923" w:type="dxa"/>
            <w:shd w:val="clear" w:color="auto" w:fill="auto"/>
          </w:tcPr>
          <w:p w:rsidR="00B54CB7" w:rsidRPr="00B54CB7" w:rsidRDefault="00B54CB7" w:rsidP="00E14310">
            <w:pPr>
              <w:jc w:val="both"/>
              <w:rPr>
                <w:sz w:val="20"/>
                <w:lang w:val="ru-RU"/>
              </w:rPr>
            </w:pPr>
          </w:p>
        </w:tc>
      </w:tr>
      <w:tr w:rsidR="00B54CB7" w:rsidRPr="00A61EED" w:rsidTr="00B54CB7">
        <w:tc>
          <w:tcPr>
            <w:tcW w:w="9923" w:type="dxa"/>
            <w:shd w:val="clear" w:color="auto" w:fill="auto"/>
          </w:tcPr>
          <w:p w:rsidR="00B54CB7" w:rsidRPr="003D2F76" w:rsidRDefault="00B54CB7" w:rsidP="00E14310">
            <w:pPr>
              <w:widowControl w:val="0"/>
              <w:autoSpaceDE w:val="0"/>
              <w:autoSpaceDN w:val="0"/>
              <w:adjustRightInd w:val="0"/>
              <w:spacing w:line="0" w:lineRule="atLeast"/>
              <w:jc w:val="both"/>
              <w:rPr>
                <w:sz w:val="20"/>
                <w:lang w:val="uk-UA"/>
              </w:rPr>
            </w:pPr>
          </w:p>
        </w:tc>
      </w:tr>
      <w:tr w:rsidR="00B54CB7" w:rsidRPr="003D2F76" w:rsidTr="00B54CB7">
        <w:tc>
          <w:tcPr>
            <w:tcW w:w="9923" w:type="dxa"/>
            <w:shd w:val="clear" w:color="auto" w:fill="auto"/>
          </w:tcPr>
          <w:p w:rsidR="00B54CB7" w:rsidRPr="003D2F76" w:rsidRDefault="00B54CB7" w:rsidP="00E14310">
            <w:pPr>
              <w:widowControl w:val="0"/>
              <w:autoSpaceDE w:val="0"/>
              <w:autoSpaceDN w:val="0"/>
              <w:adjustRightInd w:val="0"/>
              <w:spacing w:line="0" w:lineRule="atLeast"/>
              <w:jc w:val="both"/>
              <w:rPr>
                <w:sz w:val="20"/>
                <w:lang w:val="uk-UA"/>
              </w:rPr>
            </w:pPr>
            <w:r w:rsidRPr="003D2F76">
              <w:rPr>
                <w:sz w:val="20"/>
                <w:lang w:val="uk-UA"/>
              </w:rPr>
              <w:t>Наглядова рада</w:t>
            </w:r>
          </w:p>
          <w:p w:rsidR="00B54CB7" w:rsidRPr="003D2F76" w:rsidRDefault="00B54CB7" w:rsidP="00E14310">
            <w:pPr>
              <w:widowControl w:val="0"/>
              <w:autoSpaceDE w:val="0"/>
              <w:autoSpaceDN w:val="0"/>
              <w:adjustRightInd w:val="0"/>
              <w:jc w:val="both"/>
              <w:rPr>
                <w:rFonts w:ascii="Times New Roman CYR" w:hAnsi="Times New Roman CYR" w:cs="Times New Roman CYR"/>
                <w:sz w:val="20"/>
                <w:lang w:val="uk-UA"/>
              </w:rPr>
            </w:pPr>
            <w:r w:rsidRPr="003D2F76">
              <w:rPr>
                <w:rFonts w:ascii="Times New Roman CYR" w:hAnsi="Times New Roman CYR" w:cs="Times New Roman CYR"/>
                <w:sz w:val="20"/>
                <w:lang w:val="uk-UA"/>
              </w:rPr>
              <w:t>ПрАТ «Звенигородський сироробний комбінат»</w:t>
            </w:r>
          </w:p>
          <w:p w:rsidR="00B54CB7" w:rsidRPr="003D2F76" w:rsidRDefault="00B54CB7" w:rsidP="00E14310">
            <w:pPr>
              <w:widowControl w:val="0"/>
              <w:autoSpaceDE w:val="0"/>
              <w:autoSpaceDN w:val="0"/>
              <w:adjustRightInd w:val="0"/>
              <w:jc w:val="both"/>
              <w:rPr>
                <w:rFonts w:ascii="Times New Roman CYR" w:hAnsi="Times New Roman CYR" w:cs="Times New Roman CYR"/>
                <w:sz w:val="20"/>
                <w:lang w:val="uk-UA"/>
              </w:rPr>
            </w:pPr>
          </w:p>
          <w:p w:rsidR="00B54CB7" w:rsidRPr="003D2F76" w:rsidRDefault="00B54CB7" w:rsidP="00E14310">
            <w:pPr>
              <w:spacing w:line="0" w:lineRule="atLeast"/>
              <w:jc w:val="both"/>
              <w:rPr>
                <w:sz w:val="20"/>
                <w:lang w:val="en-US"/>
              </w:rPr>
            </w:pPr>
            <w:r w:rsidRPr="003D2F76">
              <w:rPr>
                <w:sz w:val="20"/>
              </w:rPr>
              <w:t>«</w:t>
            </w:r>
            <w:r>
              <w:rPr>
                <w:sz w:val="20"/>
                <w:lang w:val="en-US"/>
              </w:rPr>
              <w:t>08</w:t>
            </w:r>
            <w:r>
              <w:rPr>
                <w:sz w:val="20"/>
              </w:rPr>
              <w:t xml:space="preserve">» серпня </w:t>
            </w:r>
            <w:r w:rsidRPr="003D2F76">
              <w:rPr>
                <w:sz w:val="20"/>
              </w:rPr>
              <w:t>2018 року</w:t>
            </w:r>
          </w:p>
          <w:p w:rsidR="00B54CB7" w:rsidRPr="003D2F76" w:rsidRDefault="00B54CB7" w:rsidP="00E14310">
            <w:pPr>
              <w:widowControl w:val="0"/>
              <w:autoSpaceDE w:val="0"/>
              <w:autoSpaceDN w:val="0"/>
              <w:adjustRightInd w:val="0"/>
              <w:jc w:val="both"/>
              <w:rPr>
                <w:sz w:val="20"/>
                <w:lang w:val="en-US"/>
              </w:rPr>
            </w:pPr>
          </w:p>
        </w:tc>
      </w:tr>
    </w:tbl>
    <w:p w:rsidR="00EE7B4D" w:rsidRDefault="00A61EED"/>
    <w:sectPr w:rsidR="00EE7B4D" w:rsidSect="00B54CB7">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CB7" w:rsidRDefault="00B54CB7" w:rsidP="00B54CB7">
      <w:r>
        <w:separator/>
      </w:r>
    </w:p>
  </w:endnote>
  <w:endnote w:type="continuationSeparator" w:id="0">
    <w:p w:rsidR="00B54CB7" w:rsidRDefault="00B54CB7" w:rsidP="00B5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CB7" w:rsidRDefault="00B54CB7" w:rsidP="00B54CB7">
      <w:r>
        <w:separator/>
      </w:r>
    </w:p>
  </w:footnote>
  <w:footnote w:type="continuationSeparator" w:id="0">
    <w:p w:rsidR="00B54CB7" w:rsidRDefault="00B54CB7" w:rsidP="00B54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B7" w:rsidRDefault="00B54CB7">
    <w:pPr>
      <w:pStyle w:val="a5"/>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10004376b633dedb8a1a77c5" descr="{&quot;HashCode&quot;:-122018015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54CB7" w:rsidRPr="00B54CB7" w:rsidRDefault="00B54CB7" w:rsidP="00B54CB7">
                          <w:pPr>
                            <w:jc w:val="right"/>
                            <w:rPr>
                              <w:rFonts w:ascii="Calibri" w:hAnsi="Calibri"/>
                              <w:color w:val="0078D7"/>
                            </w:rPr>
                          </w:pPr>
                          <w:r w:rsidRPr="00B54CB7">
                            <w:rPr>
                              <w:rFonts w:ascii="Calibri" w:hAnsi="Calibri"/>
                              <w:color w:val="0078D7"/>
                            </w:rPr>
                            <w:t>C2</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0004376b633dedb8a1a77c5" o:spid="_x0000_s1026" type="#_x0000_t202" alt="{&quot;HashCode&quot;:-122018015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" o:allowincell="f" filled="f" stroked="f" strokeweight=".5pt">
              <v:fill o:detectmouseclick="t"/>
              <v:textbox inset=",0,20pt,0">
                <w:txbxContent>
                  <w:p w:rsidR="00B54CB7" w:rsidRPr="00B54CB7" w:rsidRDefault="00B54CB7" w:rsidP="00B54CB7">
                    <w:pPr>
                      <w:jc w:val="right"/>
                      <w:rPr>
                        <w:rFonts w:ascii="Calibri" w:hAnsi="Calibri"/>
                        <w:color w:val="0078D7"/>
                      </w:rPr>
                    </w:pPr>
                    <w:r w:rsidRPr="00B54CB7">
                      <w:rPr>
                        <w:rFonts w:ascii="Calibri" w:hAnsi="Calibri"/>
                        <w:color w:val="0078D7"/>
                      </w:rPr>
                      <w:t>C2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C04BD"/>
    <w:multiLevelType w:val="hybridMultilevel"/>
    <w:tmpl w:val="F0B031C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E0A78D3"/>
    <w:multiLevelType w:val="hybridMultilevel"/>
    <w:tmpl w:val="3E20BF4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4FE608F"/>
    <w:multiLevelType w:val="hybridMultilevel"/>
    <w:tmpl w:val="729651BA"/>
    <w:lvl w:ilvl="0" w:tplc="A89E3154">
      <w:start w:val="1"/>
      <w:numFmt w:val="decimal"/>
      <w:lvlText w:val="%1."/>
      <w:lvlJc w:val="left"/>
      <w:pPr>
        <w:ind w:left="675" w:hanging="360"/>
      </w:pPr>
      <w:rPr>
        <w:rFonts w:hint="default"/>
        <w:b/>
        <w:color w:val="000000"/>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 w15:restartNumberingAfterBreak="0">
    <w:nsid w:val="78163582"/>
    <w:multiLevelType w:val="hybridMultilevel"/>
    <w:tmpl w:val="72DAA974"/>
    <w:lvl w:ilvl="0" w:tplc="67C6B81A">
      <w:start w:val="1"/>
      <w:numFmt w:val="decimal"/>
      <w:lvlText w:val="%1."/>
      <w:lvlJc w:val="left"/>
      <w:pPr>
        <w:ind w:left="675" w:hanging="360"/>
      </w:pPr>
      <w:rPr>
        <w:rFonts w:hint="default"/>
        <w:b w:val="0"/>
        <w:color w:val="000000"/>
      </w:rPr>
    </w:lvl>
    <w:lvl w:ilvl="1" w:tplc="04220019" w:tentative="1">
      <w:start w:val="1"/>
      <w:numFmt w:val="lowerLetter"/>
      <w:lvlText w:val="%2."/>
      <w:lvlJc w:val="left"/>
      <w:pPr>
        <w:ind w:left="1395" w:hanging="360"/>
      </w:pPr>
    </w:lvl>
    <w:lvl w:ilvl="2" w:tplc="0422001B" w:tentative="1">
      <w:start w:val="1"/>
      <w:numFmt w:val="lowerRoman"/>
      <w:lvlText w:val="%3."/>
      <w:lvlJc w:val="right"/>
      <w:pPr>
        <w:ind w:left="2115" w:hanging="180"/>
      </w:pPr>
    </w:lvl>
    <w:lvl w:ilvl="3" w:tplc="0422000F" w:tentative="1">
      <w:start w:val="1"/>
      <w:numFmt w:val="decimal"/>
      <w:lvlText w:val="%4."/>
      <w:lvlJc w:val="left"/>
      <w:pPr>
        <w:ind w:left="2835" w:hanging="360"/>
      </w:pPr>
    </w:lvl>
    <w:lvl w:ilvl="4" w:tplc="04220019" w:tentative="1">
      <w:start w:val="1"/>
      <w:numFmt w:val="lowerLetter"/>
      <w:lvlText w:val="%5."/>
      <w:lvlJc w:val="left"/>
      <w:pPr>
        <w:ind w:left="3555" w:hanging="360"/>
      </w:pPr>
    </w:lvl>
    <w:lvl w:ilvl="5" w:tplc="0422001B" w:tentative="1">
      <w:start w:val="1"/>
      <w:numFmt w:val="lowerRoman"/>
      <w:lvlText w:val="%6."/>
      <w:lvlJc w:val="right"/>
      <w:pPr>
        <w:ind w:left="4275" w:hanging="180"/>
      </w:pPr>
    </w:lvl>
    <w:lvl w:ilvl="6" w:tplc="0422000F" w:tentative="1">
      <w:start w:val="1"/>
      <w:numFmt w:val="decimal"/>
      <w:lvlText w:val="%7."/>
      <w:lvlJc w:val="left"/>
      <w:pPr>
        <w:ind w:left="4995" w:hanging="360"/>
      </w:pPr>
    </w:lvl>
    <w:lvl w:ilvl="7" w:tplc="04220019" w:tentative="1">
      <w:start w:val="1"/>
      <w:numFmt w:val="lowerLetter"/>
      <w:lvlText w:val="%8."/>
      <w:lvlJc w:val="left"/>
      <w:pPr>
        <w:ind w:left="5715" w:hanging="360"/>
      </w:pPr>
    </w:lvl>
    <w:lvl w:ilvl="8" w:tplc="0422001B" w:tentative="1">
      <w:start w:val="1"/>
      <w:numFmt w:val="lowerRoman"/>
      <w:lvlText w:val="%9."/>
      <w:lvlJc w:val="right"/>
      <w:pPr>
        <w:ind w:left="643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B7"/>
    <w:rsid w:val="0054291A"/>
    <w:rsid w:val="00960E2B"/>
    <w:rsid w:val="00A61EED"/>
    <w:rsid w:val="00B54C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085B6"/>
  <w15:chartTrackingRefBased/>
  <w15:docId w15:val="{6C31D4ED-3280-4115-BBA9-859365CF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B7"/>
    <w:pPr>
      <w:spacing w:after="0" w:line="240" w:lineRule="auto"/>
    </w:pPr>
    <w:rPr>
      <w:rFonts w:ascii="Times New Roman" w:eastAsia="Times New Roman" w:hAnsi="Times New Roman" w:cs="Times New Roman"/>
      <w:sz w:val="24"/>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B54CB7"/>
    <w:pPr>
      <w:widowControl w:val="0"/>
      <w:autoSpaceDE w:val="0"/>
      <w:autoSpaceDN w:val="0"/>
      <w:adjustRightInd w:val="0"/>
      <w:spacing w:line="288" w:lineRule="exact"/>
      <w:jc w:val="both"/>
    </w:pPr>
    <w:rPr>
      <w:szCs w:val="24"/>
      <w:lang w:val="en-US" w:eastAsia="en-US"/>
    </w:rPr>
  </w:style>
  <w:style w:type="character" w:customStyle="1" w:styleId="FontStyle12">
    <w:name w:val="Font Style12"/>
    <w:rsid w:val="00B54CB7"/>
    <w:rPr>
      <w:rFonts w:ascii="Times New Roman" w:hAnsi="Times New Roman" w:cs="Times New Roman"/>
      <w:b/>
      <w:bCs/>
      <w:color w:val="000000"/>
      <w:sz w:val="22"/>
      <w:szCs w:val="22"/>
    </w:rPr>
  </w:style>
  <w:style w:type="character" w:customStyle="1" w:styleId="FontStyle14">
    <w:name w:val="Font Style14"/>
    <w:uiPriority w:val="99"/>
    <w:rsid w:val="00B54CB7"/>
    <w:rPr>
      <w:rFonts w:ascii="Times New Roman" w:hAnsi="Times New Roman" w:cs="Times New Roman"/>
      <w:color w:val="000000"/>
      <w:sz w:val="22"/>
      <w:szCs w:val="22"/>
    </w:rPr>
  </w:style>
  <w:style w:type="paragraph" w:styleId="a3">
    <w:name w:val="List Paragraph"/>
    <w:basedOn w:val="a"/>
    <w:uiPriority w:val="34"/>
    <w:qFormat/>
    <w:rsid w:val="00B54CB7"/>
    <w:pPr>
      <w:widowControl w:val="0"/>
      <w:autoSpaceDE w:val="0"/>
      <w:autoSpaceDN w:val="0"/>
      <w:adjustRightInd w:val="0"/>
      <w:ind w:left="720"/>
      <w:contextualSpacing/>
    </w:pPr>
    <w:rPr>
      <w:szCs w:val="24"/>
      <w:lang w:val="en-US" w:eastAsia="en-US"/>
    </w:rPr>
  </w:style>
  <w:style w:type="character" w:styleId="a4">
    <w:name w:val="Strong"/>
    <w:qFormat/>
    <w:rsid w:val="00B54CB7"/>
    <w:rPr>
      <w:b/>
      <w:bCs/>
    </w:rPr>
  </w:style>
  <w:style w:type="paragraph" w:styleId="a5">
    <w:name w:val="header"/>
    <w:basedOn w:val="a"/>
    <w:link w:val="a6"/>
    <w:uiPriority w:val="99"/>
    <w:unhideWhenUsed/>
    <w:rsid w:val="00B54CB7"/>
    <w:pPr>
      <w:tabs>
        <w:tab w:val="center" w:pos="4819"/>
        <w:tab w:val="right" w:pos="9639"/>
      </w:tabs>
    </w:pPr>
  </w:style>
  <w:style w:type="character" w:customStyle="1" w:styleId="a6">
    <w:name w:val="Верхний колонтитул Знак"/>
    <w:basedOn w:val="a0"/>
    <w:link w:val="a5"/>
    <w:uiPriority w:val="99"/>
    <w:rsid w:val="00B54CB7"/>
    <w:rPr>
      <w:rFonts w:ascii="Times New Roman" w:eastAsia="Times New Roman" w:hAnsi="Times New Roman" w:cs="Times New Roman"/>
      <w:sz w:val="24"/>
      <w:szCs w:val="20"/>
      <w:lang w:val="en-GB" w:eastAsia="ru-RU"/>
    </w:rPr>
  </w:style>
  <w:style w:type="paragraph" w:styleId="a7">
    <w:name w:val="footer"/>
    <w:basedOn w:val="a"/>
    <w:link w:val="a8"/>
    <w:uiPriority w:val="99"/>
    <w:unhideWhenUsed/>
    <w:rsid w:val="00B54CB7"/>
    <w:pPr>
      <w:tabs>
        <w:tab w:val="center" w:pos="4819"/>
        <w:tab w:val="right" w:pos="9639"/>
      </w:tabs>
    </w:pPr>
  </w:style>
  <w:style w:type="character" w:customStyle="1" w:styleId="a8">
    <w:name w:val="Нижний колонтитул Знак"/>
    <w:basedOn w:val="a0"/>
    <w:link w:val="a7"/>
    <w:uiPriority w:val="99"/>
    <w:rsid w:val="00B54CB7"/>
    <w:rPr>
      <w:rFonts w:ascii="Times New Roman" w:eastAsia="Times New Roman" w:hAnsi="Times New Roman" w:cs="Times New Roman"/>
      <w:sz w:val="24"/>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4399</Words>
  <Characters>2508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Yevgeniya KOVALENKO</dc:creator>
  <cp:keywords/>
  <dc:description/>
  <cp:lastModifiedBy>Yevgeniya KOVALENKO</cp:lastModifiedBy>
  <cp:revision>2</cp:revision>
  <dcterms:created xsi:type="dcterms:W3CDTF">2018-08-08T10:46:00Z</dcterms:created>
  <dcterms:modified xsi:type="dcterms:W3CDTF">2018-08-08T10:56:00Z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be80aa-1d81-4f9b-a725-00b7929cdbde_Enabled">
    <vt:lpwstr>True</vt:lpwstr>
  </property>
  <property fmtid="{D5CDD505-2E9C-101B-9397-08002B2CF9AE}" pid="3" name="MSIP_Label_a9be80aa-1d81-4f9b-a725-00b7929cdbde_SiteId">
    <vt:lpwstr>b2e0bd95-d717-4462-b33e-dcaec4e9c4ec</vt:lpwstr>
  </property>
  <property fmtid="{D5CDD505-2E9C-101B-9397-08002B2CF9AE}" pid="4" name="MSIP_Label_a9be80aa-1d81-4f9b-a725-00b7929cdbde_Owner">
    <vt:lpwstr>yevgeniya.kovalenko@savencia.com</vt:lpwstr>
  </property>
  <property fmtid="{D5CDD505-2E9C-101B-9397-08002B2CF9AE}" pid="5" name="MSIP_Label_a9be80aa-1d81-4f9b-a725-00b7929cdbde_SetDate">
    <vt:lpwstr>2018-08-08T10:51:55.7366707Z</vt:lpwstr>
  </property>
  <property fmtid="{D5CDD505-2E9C-101B-9397-08002B2CF9AE}" pid="6" name="MSIP_Label_a9be80aa-1d81-4f9b-a725-00b7929cdbde_Name">
    <vt:lpwstr>C2-Restricted</vt:lpwstr>
  </property>
  <property fmtid="{D5CDD505-2E9C-101B-9397-08002B2CF9AE}" pid="7" name="MSIP_Label_a9be80aa-1d81-4f9b-a725-00b7929cdbde_Application">
    <vt:lpwstr>Microsoft Azure Information Protection</vt:lpwstr>
  </property>
  <property fmtid="{D5CDD505-2E9C-101B-9397-08002B2CF9AE}" pid="8" name="MSIP_Label_a9be80aa-1d81-4f9b-a725-00b7929cdbde_Extended_MSFT_Method">
    <vt:lpwstr>Automatic</vt:lpwstr>
  </property>
  <property fmtid="{D5CDD505-2E9C-101B-9397-08002B2CF9AE}" pid="9" name="Sensitivity">
    <vt:lpwstr>C2-Restricted</vt:lpwstr>
  </property>
</Properties>
</file>